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CAF6D"/>
          <w:sz w:val="20"/>
        </w:rPr>
        <w:t>PLANTILLA EDITABLE · NEOPLAGAS</w:t>
      </w:r>
    </w:p>
    <w:p>
      <w:pPr>
        <w:pStyle w:val="Title"/>
      </w:pPr>
      <w:r>
        <w:rPr>
          <w:rFonts w:ascii="Arial" w:hAnsi="Arial"/>
          <w:color w:val="0F3D20"/>
          <w:sz w:val="48"/>
        </w:rPr>
        <w:t>Programa de Control de Plagas (Manejo Integrado de Plagas, MIP)</w:t>
      </w:r>
    </w:p>
    <w:p>
      <w:r>
        <w:t>Para plantas de alimentos, restaurantes, bodegas, clínicas, colegios, oficinas e industrias que necesitan un programa documentado para la fiscalización sanitaria o para una auditoría (HACCP, BRC, FSSC 22000 o del cliente).</w:t>
      </w:r>
    </w:p>
    <w:p>
      <w:r>
        <w:rPr>
          <w:i/>
          <w:color w:val="5B6B62"/>
          <w:sz w:val="18"/>
        </w:rPr>
        <w:t>Cómo usarla: completa los recuadros en gris, borra lo que no aplique a tu recinto y guarda una copia firmada junto a los certificados de cada servicio. La empresa de control de plagas debe completar las secciones 3, 6, 7 y 8 contigo.</w:t>
      </w:r>
    </w:p>
    <w:p>
      <w:pPr>
        <w:pStyle w:val="Heading1"/>
      </w:pPr>
      <w:r>
        <w:rPr>
          <w:rFonts w:ascii="Arial" w:hAnsi="Arial"/>
          <w:color w:val="0F3D20"/>
        </w:rPr>
        <w:t>1. Datos del establecimiento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237"/>
      </w:tblGrid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Razón social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RUT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Dirección del recinto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Rubro / actividad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Responsable interno del programa (nombre y cargo)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Fecha de emisión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Versión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Próxima revisión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0F3D20"/>
        </w:rPr>
        <w:t>2. Objetivo y alcance</w:t>
      </w:r>
    </w:p>
    <w:p>
      <w:r>
        <w:t>Objetivo: prevenir la entrada y el establecimiento de plagas en el recinto, detectar a tiempo cualquier actividad y corregirla con métodos integrados (exclusión, limpieza, monitoreo, control mecánico y químico), dejando registro de cada acción.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237"/>
      </w:tblGrid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Áreas incluidas (bodega, producción, cocina, casino, oficinas, exteriores, etc.)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Áreas excluidas y motivo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0F3D20"/>
        </w:rPr>
        <w:t>3. Empresa de control de plagas</w:t>
      </w:r>
    </w:p>
    <w:p>
      <w:r>
        <w:rPr>
          <w:i/>
          <w:color w:val="5B6B62"/>
          <w:sz w:val="18"/>
        </w:rPr>
        <w:t>El D.S. 157 exige que la aplicación la haga una empresa con autorización sanitaria y un responsable técnico (arts. 95 y 104).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237"/>
      </w:tblGrid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Razón social y RUT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N° y fecha de la resolución sanitaria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Responsable técnico (nombre y profesión)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Teléfono de emergencias y tiempo de respuesta comprometido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Frecuencia de visitas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0F3D20"/>
        </w:rPr>
        <w:t>4. Normativa y exigencias que cubre este programa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Norma o exigencia</w:t>
            </w:r>
          </w:p>
        </w:tc>
        <w:tc>
          <w:tcPr>
            <w:tcW w:type="dxa" w:w="3213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Qué pide</w:t>
            </w:r>
          </w:p>
        </w:tc>
        <w:tc>
          <w:tcPr>
            <w:tcW w:type="dxa" w:w="3213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Cómo se cumple en este programa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D.S. 594, art. 11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Lugar de trabajo con medidas efectivas contra insectos, roedores y otras plagas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Visitas periódicas y registro de cada una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D.S. 157, art. 85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Diagnóstico antes de aplicar: plaga, producto, plan de aplicación y recomendaciones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Diagnóstico inicial (sección 6) y en cada certificado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D.S. 157, arts. 101 y 102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Certificado de cada tratamiento con contenido mínimo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Certificado de cada visita archivado (sección 10)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Reglamento Sanitario de los Alimentos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Si hay elaboración, venta o servicio de alimentos: recinto libre de plagas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Programa con registros y acciones correctivas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HACCP / NCh 3235, BRC, FSSC 22000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Control de plagas como programa prerrequisito documentado y verificado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Plano de estaciones, tendencia y revisión anual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Auditoría del cliente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213"/>
            <w:shd w:val="clear" w:color="auto" w:fill="F2F7F3"/>
          </w:tcPr>
          <w:p/>
        </w:tc>
        <w:tc>
          <w:tcPr>
            <w:tcW w:type="dxa" w:w="3213"/>
            <w:shd w:val="clear" w:color="auto" w:fill="F2F7F3"/>
          </w:tcPr>
          <w:p/>
        </w:tc>
        <w:tc>
          <w:tcPr>
            <w:tcW w:type="dxa" w:w="3213"/>
            <w:shd w:val="clear" w:color="auto" w:fill="F2F7F3"/>
          </w:tcPr>
          <w:p/>
        </w:tc>
      </w:tr>
    </w:tbl>
    <w:p/>
    <w:p>
      <w:pPr>
        <w:pStyle w:val="Heading1"/>
      </w:pPr>
      <w:r>
        <w:rPr>
          <w:rFonts w:ascii="Arial" w:hAnsi="Arial"/>
          <w:color w:val="0F3D20"/>
        </w:rPr>
        <w:t>5. Plagas objetivo y umbrales de acción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7"/>
        <w:gridCol w:w="1927"/>
        <w:gridCol w:w="1927"/>
        <w:gridCol w:w="1927"/>
        <w:gridCol w:w="1927"/>
      </w:tblGrid>
      <w:tr>
        <w:tc>
          <w:tcPr>
            <w:tcW w:type="dxa" w:w="1928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Plaga</w:t>
            </w:r>
          </w:p>
        </w:tc>
        <w:tc>
          <w:tcPr>
            <w:tcW w:type="dxa" w:w="1928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Zona de riesgo</w:t>
            </w:r>
          </w:p>
        </w:tc>
        <w:tc>
          <w:tcPr>
            <w:tcW w:type="dxa" w:w="1928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Cómo se monitorea</w:t>
            </w:r>
          </w:p>
        </w:tc>
        <w:tc>
          <w:tcPr>
            <w:tcW w:type="dxa" w:w="1928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Umbral de acción</w:t>
            </w:r>
          </w:p>
        </w:tc>
        <w:tc>
          <w:tcPr>
            <w:tcW w:type="dxa" w:w="1928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Acción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Roedores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Estaciones de cebo / trampas numeradas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Ej.: cualquier consumo o captura en zona interior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Cucarachas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Trampas adhesivas e inspección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Moscas y voladores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Lámparas UV con lámina de captura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Plagas de productos almacenados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Trampas de feromona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Aves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Inspección de techos y andenes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</w:tr>
      <w:tr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</w:tr>
    </w:tbl>
    <w:p/>
    <w:p>
      <w:pPr>
        <w:pStyle w:val="Heading1"/>
      </w:pPr>
      <w:r>
        <w:rPr>
          <w:rFonts w:ascii="Arial" w:hAnsi="Arial"/>
          <w:color w:val="0F3D20"/>
        </w:rPr>
        <w:t>6. Diagnóstico inicial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237"/>
      </w:tblGrid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Fecha del diagnóstico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Hallazgos (focos, accesos, condiciones de orden y limpieza)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Recomendaciones estructurales (sellos, mallas, burletes, desagües)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Plan de aplicación propuesto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0F3D20"/>
        </w:rPr>
        <w:t>7. Plano y listado de estaciones</w:t>
      </w:r>
    </w:p>
    <w:p>
      <w:r>
        <w:rPr>
          <w:i/>
          <w:color w:val="5B6B62"/>
          <w:sz w:val="18"/>
        </w:rPr>
        <w:t>Adjunta el plano del recinto con cada estación numerada. Interior: trampas sin veneno en zonas de alimentos; exterior: estaciones con cebo.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7"/>
        <w:gridCol w:w="1927"/>
        <w:gridCol w:w="1927"/>
        <w:gridCol w:w="1927"/>
        <w:gridCol w:w="1927"/>
      </w:tblGrid>
      <w:tr>
        <w:tc>
          <w:tcPr>
            <w:tcW w:type="dxa" w:w="1928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N° estación</w:t>
            </w:r>
          </w:p>
        </w:tc>
        <w:tc>
          <w:tcPr>
            <w:tcW w:type="dxa" w:w="1928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Tipo (cebo, trampa, UV, feromona)</w:t>
            </w:r>
          </w:p>
        </w:tc>
        <w:tc>
          <w:tcPr>
            <w:tcW w:type="dxa" w:w="1928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Ubicación</w:t>
            </w:r>
          </w:p>
        </w:tc>
        <w:tc>
          <w:tcPr>
            <w:tcW w:type="dxa" w:w="1928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Interior / exterior</w:t>
            </w:r>
          </w:p>
        </w:tc>
        <w:tc>
          <w:tcPr>
            <w:tcW w:type="dxa" w:w="1928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Observaciones</w:t>
            </w:r>
          </w:p>
        </w:tc>
      </w:tr>
      <w:tr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</w:tr>
      <w:tr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</w:tr>
      <w:tr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</w:tr>
      <w:tr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</w:tr>
      <w:tr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</w:tr>
      <w:tr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</w:tr>
      <w:tr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</w:tr>
      <w:tr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</w:tr>
      <w:tr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</w:tr>
      <w:tr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</w:tr>
    </w:tbl>
    <w:p/>
    <w:p>
      <w:pPr>
        <w:pStyle w:val="Heading1"/>
      </w:pPr>
      <w:r>
        <w:rPr>
          <w:rFonts w:ascii="Arial" w:hAnsi="Arial"/>
          <w:color w:val="0F3D20"/>
        </w:rPr>
        <w:t>8. Productos autorizados</w:t>
      </w:r>
    </w:p>
    <w:p>
      <w:r>
        <w:rPr>
          <w:i/>
          <w:color w:val="5B6B62"/>
          <w:sz w:val="18"/>
        </w:rPr>
        <w:t>Solo productos con registro del Instituto de Salud Pública (ISP). El certificado de cada servicio debe indicar producto, registro, formulación, dosis y lugares tratados (D.S. 157, art. 102).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Nombre comercial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Principio activo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N° registro ISP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Formulación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Dosis / concentración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Dónde se usa</w:t>
            </w:r>
          </w:p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</w:tbl>
    <w:p/>
    <w:p>
      <w:pPr>
        <w:pStyle w:val="Heading1"/>
      </w:pPr>
      <w:r>
        <w:rPr>
          <w:rFonts w:ascii="Arial" w:hAnsi="Arial"/>
          <w:color w:val="0F3D20"/>
        </w:rPr>
        <w:t>9. Métodos del manejo integrado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Método</w:t>
            </w:r>
          </w:p>
        </w:tc>
        <w:tc>
          <w:tcPr>
            <w:tcW w:type="dxa" w:w="3213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Qué se hace en este recinto</w:t>
            </w:r>
          </w:p>
        </w:tc>
        <w:tc>
          <w:tcPr>
            <w:tcW w:type="dxa" w:w="3213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Responsable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Exclusión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Sellado de grietas, desagües, puertas y andenes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Cultural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Orden, limpieza, manejo de basura y de pallets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Mecánico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Trampas de captura, adhesivas y lámparas UV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Químico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Aplicación focalizada con productos registrados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Monitoreo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Revisión de cada estación y análisis de capturas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rPr>
          <w:rFonts w:ascii="Arial" w:hAnsi="Arial"/>
          <w:color w:val="0F3D20"/>
        </w:rPr>
        <w:t>10. Registro de visitas y certificados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Fecha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N° de certificado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Técnico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Hallazgos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Acciones realizadas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Firma recinto</w:t>
            </w:r>
          </w:p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</w:tbl>
    <w:p/>
    <w:p>
      <w:pPr>
        <w:pStyle w:val="Heading1"/>
      </w:pPr>
      <w:r>
        <w:rPr>
          <w:rFonts w:ascii="Arial" w:hAnsi="Arial"/>
          <w:color w:val="0F3D20"/>
        </w:rPr>
        <w:t>11. Acciones correctivas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Fecha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Hallazgo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Causa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Acción correctiva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Responsable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Fecha de cierre</w:t>
            </w:r>
          </w:p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</w:tbl>
    <w:p/>
    <w:p>
      <w:pPr>
        <w:pStyle w:val="Heading1"/>
      </w:pPr>
      <w:r>
        <w:rPr>
          <w:rFonts w:ascii="Arial" w:hAnsi="Arial"/>
          <w:color w:val="0F3D20"/>
        </w:rPr>
        <w:t>12. Capacitaciones al personal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7"/>
        <w:gridCol w:w="1927"/>
        <w:gridCol w:w="1927"/>
        <w:gridCol w:w="1927"/>
        <w:gridCol w:w="1927"/>
      </w:tblGrid>
      <w:tr>
        <w:tc>
          <w:tcPr>
            <w:tcW w:type="dxa" w:w="1928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Fecha</w:t>
            </w:r>
          </w:p>
        </w:tc>
        <w:tc>
          <w:tcPr>
            <w:tcW w:type="dxa" w:w="1928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Tema</w:t>
            </w:r>
          </w:p>
        </w:tc>
        <w:tc>
          <w:tcPr>
            <w:tcW w:type="dxa" w:w="1928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Dictada por</w:t>
            </w:r>
          </w:p>
        </w:tc>
        <w:tc>
          <w:tcPr>
            <w:tcW w:type="dxa" w:w="1928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N° asistentes</w:t>
            </w:r>
          </w:p>
        </w:tc>
        <w:tc>
          <w:tcPr>
            <w:tcW w:type="dxa" w:w="1928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Registro de firma</w:t>
            </w:r>
          </w:p>
        </w:tc>
      </w:tr>
      <w:tr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</w:tr>
      <w:tr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</w:tr>
      <w:tr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</w:tr>
      <w:tr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  <w:tc>
          <w:tcPr>
            <w:tcW w:type="dxa" w:w="1928"/>
            <w:shd w:val="clear" w:color="auto" w:fill="F2F7F3"/>
          </w:tcPr>
          <w:p/>
        </w:tc>
      </w:tr>
    </w:tbl>
    <w:p/>
    <w:p>
      <w:pPr>
        <w:pStyle w:val="Heading1"/>
      </w:pPr>
      <w:r>
        <w:rPr>
          <w:rFonts w:ascii="Arial" w:hAnsi="Arial"/>
          <w:color w:val="0F3D20"/>
        </w:rPr>
        <w:t>13. Tendencia y revisión del programa</w:t>
      </w:r>
    </w:p>
    <w:p>
      <w:r>
        <w:rPr>
          <w:i/>
          <w:color w:val="5B6B62"/>
          <w:sz w:val="18"/>
        </w:rPr>
        <w:t>Una vez al mes (o en cada informe de tendencia) se suman las capturas por zona para ver si la actividad sube o baja y ajustar el programa.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Mes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Roedores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Cucarachas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Voladores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Otros</w:t>
            </w:r>
          </w:p>
        </w:tc>
        <w:tc>
          <w:tcPr>
            <w:tcW w:type="dxa" w:w="1606"/>
            <w:shd w:val="clear" w:color="auto" w:fill="0F3D20"/>
          </w:tcPr>
          <w:p>
            <w:r/>
            <w:r>
              <w:rPr>
                <w:b/>
                <w:color w:val="FFFFFF"/>
                <w:sz w:val="18"/>
              </w:rPr>
              <w:t>Conclusión y ajuste</w:t>
            </w:r>
          </w:p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  <w:tr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  <w:tc>
          <w:tcPr>
            <w:tcW w:type="dxa" w:w="1606"/>
            <w:shd w:val="clear" w:color="auto" w:fill="F2F7F3"/>
          </w:tcPr>
          <w:p/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237"/>
      </w:tblGrid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Revisión anual del programa (fecha y responsable)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  <w:tr>
        <w:tc>
          <w:tcPr>
            <w:tcW w:type="dxa" w:w="3402"/>
            <w:shd w:val="clear" w:color="auto" w:fill="E6F1E8"/>
          </w:tcPr>
          <w:p>
            <w:r>
              <w:rPr>
                <w:b/>
              </w:rPr>
              <w:t>Cambios realizados</w:t>
            </w:r>
          </w:p>
        </w:tc>
        <w:tc>
          <w:tcPr>
            <w:tcW w:type="dxa" w:w="6236"/>
            <w:shd w:val="clear" w:color="auto" w:fill="F2F7F3"/>
          </w:tcPr>
          <w:p>
            <w:r>
              <w:t xml:space="preserve"> 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0F3D20"/>
        </w:rPr>
        <w:t>14. Lista para revisar cada certificado (D.S. 157, art. 102)</w:t>
      </w:r>
    </w:p>
    <w:p>
      <w:r>
        <w:t>☐ Folio correlativo.</w:t>
      </w:r>
    </w:p>
    <w:p>
      <w:r>
        <w:t>☐ Datos de la empresa: nombre, RUT, domicilio, teléfono, número y fecha de la resolución sanitaria, representante legal.</w:t>
      </w:r>
    </w:p>
    <w:p>
      <w:r>
        <w:t>☐ Identificación del inmueble tratado y de quien solicitó el trabajo.</w:t>
      </w:r>
    </w:p>
    <w:p>
      <w:r>
        <w:t>☐ Tratamientos realizados: producto con su número de registro, formulación, dosis, concentración y lugares tratados.</w:t>
      </w:r>
    </w:p>
    <w:p>
      <w:r>
        <w:t>☐ En desratización: número, tipo y peso de los cebos, y fechas de inicio y término.</w:t>
      </w:r>
    </w:p>
    <w:p>
      <w:r>
        <w:t>☐ Observaciones y recomendaciones para el manejo de plagas.</w:t>
      </w:r>
    </w:p>
    <w:p>
      <w:r>
        <w:t>☐ Fecha de la operación y fecha de término de vigencia del tratamiento.</w:t>
      </w:r>
    </w:p>
    <w:p/>
    <w:p>
      <w:pPr>
        <w:jc w:val="center"/>
      </w:pPr>
      <w:r>
        <w:rPr>
          <w:b/>
          <w:color w:val="0F3D20"/>
        </w:rPr>
        <w:t>¿Quieres que lo armemos contigo? Neoplagas hace el diagnóstico, el plano de estaciones y el programa documentado.</w:t>
        <w:br/>
      </w:r>
      <w:r>
        <w:rPr>
          <w:color w:val="4CAF6D"/>
        </w:rPr>
        <w:t>www.neoplagas.cl · 600 361 0277 · +56 9 4462 6445 · ventas@neoplagas.cl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programa de control de plagas (MIP)</dc:title>
  <dc:subject/>
  <dc:creator>Neoplagas · Kronox S.A.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